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31" w:rsidRPr="00395306" w:rsidRDefault="00AD5C31" w:rsidP="00AD5C31">
      <w:pPr>
        <w:tabs>
          <w:tab w:val="left" w:pos="0"/>
        </w:tabs>
        <w:spacing w:after="240"/>
        <w:rPr>
          <w:rFonts w:ascii="Arial" w:hAnsi="Arial"/>
          <w:b/>
          <w:bCs/>
          <w:color w:val="00B0F0"/>
          <w:sz w:val="36"/>
          <w:szCs w:val="36"/>
          <w:lang w:val="ru-RU"/>
        </w:rPr>
      </w:pPr>
      <w:r w:rsidRPr="00395306">
        <w:rPr>
          <w:rFonts w:ascii="Arial" w:hAnsi="Arial"/>
          <w:b/>
          <w:bCs/>
          <w:color w:val="00B0F0"/>
          <w:sz w:val="36"/>
          <w:szCs w:val="36"/>
          <w:lang w:val="ru-RU"/>
        </w:rPr>
        <w:t>ГИГАНТСКИЕ ШАГИ</w:t>
      </w:r>
    </w:p>
    <w:p w:rsidR="00AD5C31" w:rsidRPr="00395306" w:rsidRDefault="00AD5C31" w:rsidP="00AD5C31">
      <w:pPr>
        <w:tabs>
          <w:tab w:val="left" w:pos="0"/>
        </w:tabs>
        <w:spacing w:after="240"/>
        <w:rPr>
          <w:rFonts w:ascii="Arial" w:hAnsi="Arial"/>
          <w:color w:val="00B0F0"/>
          <w:sz w:val="28"/>
          <w:szCs w:val="28"/>
          <w:lang w:val="ru-RU"/>
        </w:rPr>
      </w:pPr>
      <w:r w:rsidRPr="00395306">
        <w:rPr>
          <w:rFonts w:ascii="Arial" w:hAnsi="Arial"/>
          <w:color w:val="00B0F0"/>
          <w:sz w:val="28"/>
          <w:szCs w:val="28"/>
          <w:lang w:val="ru-RU"/>
        </w:rPr>
        <w:t>Навыки:</w:t>
      </w:r>
    </w:p>
    <w:p w:rsidR="00AD5C31" w:rsidRPr="00395306" w:rsidRDefault="00AD5C31" w:rsidP="00AD5C31">
      <w:pPr>
        <w:numPr>
          <w:ilvl w:val="0"/>
          <w:numId w:val="2"/>
        </w:numPr>
        <w:tabs>
          <w:tab w:val="left" w:pos="0"/>
        </w:tabs>
        <w:spacing w:after="240"/>
        <w:rPr>
          <w:rFonts w:ascii="Arial" w:hAnsi="Arial"/>
          <w:lang w:val="ru-RU"/>
        </w:rPr>
      </w:pPr>
      <w:r w:rsidRPr="00395306">
        <w:rPr>
          <w:rFonts w:ascii="Arial" w:hAnsi="Arial"/>
          <w:lang w:val="ru-RU"/>
        </w:rPr>
        <w:t>Мышление, Принятие Решений</w:t>
      </w:r>
    </w:p>
    <w:p w:rsidR="00AD5C31" w:rsidRPr="00395306" w:rsidRDefault="00AD5C31" w:rsidP="00AD5C31">
      <w:pPr>
        <w:tabs>
          <w:tab w:val="left" w:pos="0"/>
        </w:tabs>
        <w:spacing w:after="240"/>
        <w:rPr>
          <w:rFonts w:ascii="Arial" w:hAnsi="Arial"/>
          <w:color w:val="00B0F0"/>
          <w:sz w:val="28"/>
          <w:szCs w:val="28"/>
          <w:lang w:val="ru-RU"/>
        </w:rPr>
      </w:pPr>
      <w:r w:rsidRPr="00395306">
        <w:rPr>
          <w:rFonts w:ascii="Arial" w:hAnsi="Arial"/>
          <w:color w:val="00B0F0"/>
          <w:sz w:val="28"/>
          <w:szCs w:val="28"/>
          <w:lang w:val="ru-RU"/>
        </w:rPr>
        <w:t>Что это?</w:t>
      </w:r>
    </w:p>
    <w:p w:rsidR="00AD5C31" w:rsidRPr="00395306" w:rsidRDefault="00AD5C31" w:rsidP="00AD5C31">
      <w:pPr>
        <w:numPr>
          <w:ilvl w:val="0"/>
          <w:numId w:val="2"/>
        </w:numPr>
        <w:tabs>
          <w:tab w:val="left" w:pos="0"/>
        </w:tabs>
        <w:spacing w:after="240"/>
        <w:ind w:left="714" w:hanging="357"/>
        <w:rPr>
          <w:rFonts w:ascii="Arial" w:hAnsi="Arial"/>
          <w:lang w:val="ru-RU"/>
        </w:rPr>
      </w:pPr>
      <w:r w:rsidRPr="00395306">
        <w:rPr>
          <w:rFonts w:ascii="Arial" w:hAnsi="Arial"/>
          <w:lang w:val="ru-RU"/>
        </w:rPr>
        <w:t xml:space="preserve">Это активное упражнение для исследования различных мнений и эмоций относительно определенного вопроса. Оно может использоваться как введение к определенной теме и для проверки интереса и основного понимания учениками обсуждаемого вопроса. От учеников требуется принять определенную позицию по вопросу, что позволяет каждому иметь право голоса, даже если они его не озвучивают. Цель данного упражнения подобна целям в </w:t>
      </w:r>
      <w:r w:rsidRPr="00395306">
        <w:rPr>
          <w:rFonts w:ascii="Arial" w:hAnsi="Arial"/>
          <w:b/>
          <w:lang w:val="ru-RU"/>
        </w:rPr>
        <w:t>Дебатах</w:t>
      </w:r>
      <w:proofErr w:type="gramStart"/>
      <w:r w:rsidRPr="00395306">
        <w:rPr>
          <w:rFonts w:ascii="Arial" w:hAnsi="Arial"/>
          <w:b/>
          <w:lang w:val="ru-RU"/>
        </w:rPr>
        <w:t xml:space="preserve"> Ч</w:t>
      </w:r>
      <w:proofErr w:type="gramEnd"/>
      <w:r w:rsidRPr="00395306">
        <w:rPr>
          <w:rFonts w:ascii="Arial" w:hAnsi="Arial"/>
          <w:b/>
          <w:lang w:val="ru-RU"/>
        </w:rPr>
        <w:t>етырех Углов</w:t>
      </w:r>
      <w:r w:rsidRPr="00395306">
        <w:rPr>
          <w:rFonts w:ascii="Arial" w:hAnsi="Arial"/>
          <w:lang w:val="ru-RU"/>
        </w:rPr>
        <w:t>.</w:t>
      </w:r>
    </w:p>
    <w:p w:rsidR="00AD5C31" w:rsidRPr="00395306" w:rsidRDefault="00AD5C31" w:rsidP="00AD5C31">
      <w:pPr>
        <w:tabs>
          <w:tab w:val="left" w:pos="0"/>
        </w:tabs>
        <w:spacing w:after="240"/>
        <w:rPr>
          <w:rFonts w:ascii="Arial" w:hAnsi="Arial"/>
          <w:color w:val="00B0F0"/>
          <w:sz w:val="28"/>
          <w:szCs w:val="28"/>
          <w:lang w:val="ru-RU"/>
        </w:rPr>
      </w:pPr>
      <w:r w:rsidRPr="00395306">
        <w:rPr>
          <w:rFonts w:ascii="Arial" w:hAnsi="Arial"/>
          <w:color w:val="00B0F0"/>
          <w:sz w:val="28"/>
          <w:szCs w:val="28"/>
          <w:lang w:val="ru-RU"/>
        </w:rPr>
        <w:t>Расположение класса</w:t>
      </w:r>
    </w:p>
    <w:p w:rsidR="00AD5C31" w:rsidRPr="00395306" w:rsidRDefault="00AD5C31" w:rsidP="00AD5C31">
      <w:pPr>
        <w:numPr>
          <w:ilvl w:val="0"/>
          <w:numId w:val="2"/>
        </w:numPr>
        <w:tabs>
          <w:tab w:val="left" w:pos="0"/>
        </w:tabs>
        <w:spacing w:after="240"/>
        <w:rPr>
          <w:rFonts w:ascii="Arial" w:hAnsi="Arial"/>
          <w:lang w:val="ru-RU"/>
        </w:rPr>
      </w:pPr>
      <w:r w:rsidRPr="00395306">
        <w:rPr>
          <w:rFonts w:ascii="Arial" w:hAnsi="Arial"/>
          <w:lang w:val="ru-RU"/>
        </w:rPr>
        <w:t>Необходимо большое пространство, чтобы ученики могли передвигаться и общаться.</w:t>
      </w:r>
    </w:p>
    <w:p w:rsidR="00AD5C31" w:rsidRPr="00395306" w:rsidRDefault="00AD5C31" w:rsidP="00AD5C31">
      <w:pPr>
        <w:tabs>
          <w:tab w:val="left" w:pos="0"/>
        </w:tabs>
        <w:spacing w:after="240"/>
        <w:rPr>
          <w:rFonts w:ascii="Arial" w:hAnsi="Arial"/>
          <w:color w:val="00B0F0"/>
          <w:sz w:val="28"/>
          <w:szCs w:val="28"/>
          <w:lang w:val="ru-RU"/>
        </w:rPr>
      </w:pPr>
      <w:r w:rsidRPr="00395306">
        <w:rPr>
          <w:rFonts w:ascii="Arial" w:hAnsi="Arial"/>
          <w:color w:val="00B0F0"/>
          <w:sz w:val="28"/>
          <w:szCs w:val="28"/>
          <w:lang w:val="ru-RU"/>
        </w:rPr>
        <w:t>Как это работает?</w:t>
      </w:r>
    </w:p>
    <w:p w:rsidR="00AD5C31" w:rsidRPr="00395306" w:rsidRDefault="00AD5C31" w:rsidP="00AD5C31">
      <w:pPr>
        <w:spacing w:after="0"/>
        <w:ind w:left="284" w:hanging="284"/>
        <w:rPr>
          <w:rFonts w:ascii="Arial" w:hAnsi="Arial"/>
          <w:lang w:val="ru-RU"/>
        </w:rPr>
      </w:pPr>
      <w:r w:rsidRPr="00395306">
        <w:rPr>
          <w:rFonts w:ascii="Arial" w:hAnsi="Arial"/>
          <w:lang w:val="ru-RU"/>
        </w:rPr>
        <w:t>1.</w:t>
      </w:r>
      <w:r>
        <w:rPr>
          <w:rFonts w:ascii="Arial" w:hAnsi="Arial"/>
          <w:lang w:val="ru-RU"/>
        </w:rPr>
        <w:t xml:space="preserve">  </w:t>
      </w:r>
      <w:r w:rsidRPr="00395306">
        <w:rPr>
          <w:rFonts w:ascii="Arial" w:hAnsi="Arial"/>
          <w:lang w:val="ru-RU"/>
        </w:rPr>
        <w:t xml:space="preserve">Ученики становятся в длинную линию. Для того чтобы поставить учеников в ряд и подтолкнуть их к дискуссии, преподаватель может попросить учеников создать спектр, основанный на насущных проблемах. Например, учеников можно попросить выстроиться в линию </w:t>
      </w:r>
      <w:proofErr w:type="gramStart"/>
      <w:r w:rsidRPr="00395306">
        <w:rPr>
          <w:rFonts w:ascii="Arial" w:hAnsi="Arial"/>
          <w:lang w:val="ru-RU"/>
        </w:rPr>
        <w:t>от</w:t>
      </w:r>
      <w:proofErr w:type="gramEnd"/>
      <w:r w:rsidRPr="00395306">
        <w:rPr>
          <w:rFonts w:ascii="Arial" w:hAnsi="Arial"/>
          <w:lang w:val="ru-RU"/>
        </w:rPr>
        <w:t xml:space="preserve"> самых оптимистичных до наименее оптимистичных, от самых организованных до наименее организованных, и т.д. Ученики должны будут объяснить, почему они так встали.</w:t>
      </w:r>
    </w:p>
    <w:p w:rsidR="00AD5C31" w:rsidRPr="00395306" w:rsidRDefault="00AD5C31" w:rsidP="00AD5C31">
      <w:pPr>
        <w:spacing w:after="0"/>
        <w:ind w:left="284" w:hanging="284"/>
        <w:rPr>
          <w:rFonts w:ascii="Arial" w:hAnsi="Arial"/>
          <w:lang w:val="ru-RU"/>
        </w:rPr>
      </w:pPr>
      <w:r w:rsidRPr="00395306">
        <w:rPr>
          <w:rFonts w:ascii="Arial" w:hAnsi="Arial"/>
          <w:lang w:val="ru-RU"/>
        </w:rPr>
        <w:t xml:space="preserve">2. </w:t>
      </w:r>
      <w:r>
        <w:rPr>
          <w:rFonts w:ascii="Arial" w:hAnsi="Arial"/>
          <w:lang w:val="ru-RU"/>
        </w:rPr>
        <w:t xml:space="preserve"> </w:t>
      </w:r>
      <w:r w:rsidRPr="00395306">
        <w:rPr>
          <w:rFonts w:ascii="Arial" w:hAnsi="Arial"/>
          <w:lang w:val="ru-RU"/>
        </w:rPr>
        <w:t>Когда все ученики встанут в ряд, преподаватель прочитает утверждение. Например:</w:t>
      </w:r>
    </w:p>
    <w:p w:rsidR="00AD5C31" w:rsidRPr="00395306" w:rsidRDefault="00AD5C31" w:rsidP="00AD5C31">
      <w:pPr>
        <w:spacing w:after="0"/>
        <w:ind w:left="284" w:hanging="284"/>
        <w:rPr>
          <w:rFonts w:ascii="Arial" w:hAnsi="Arial"/>
          <w:lang w:val="ru-RU"/>
        </w:rPr>
      </w:pPr>
    </w:p>
    <w:p w:rsidR="00AD5C31" w:rsidRPr="00395306" w:rsidRDefault="00AD5C31" w:rsidP="00AD5C31">
      <w:pPr>
        <w:tabs>
          <w:tab w:val="left" w:pos="0"/>
        </w:tabs>
        <w:spacing w:after="0"/>
        <w:rPr>
          <w:rFonts w:ascii="Arial" w:hAnsi="Arial"/>
          <w:lang w:val="ru-RU"/>
        </w:rPr>
      </w:pPr>
    </w:p>
    <w:p w:rsidR="00AD5C31" w:rsidRPr="00395306" w:rsidRDefault="00AD5C31" w:rsidP="00AD5C31">
      <w:pPr>
        <w:tabs>
          <w:tab w:val="left" w:pos="0"/>
        </w:tabs>
        <w:spacing w:after="0"/>
        <w:rPr>
          <w:rFonts w:ascii="Arial" w:hAnsi="Arial"/>
          <w:lang w:val="ru-RU"/>
        </w:rPr>
      </w:pPr>
      <w:r>
        <w:rPr>
          <w:rFonts w:ascii="Arial" w:hAnsi="Arial"/>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-86995</wp:posOffset>
                </wp:positionV>
                <wp:extent cx="5351145" cy="1365885"/>
                <wp:effectExtent l="20320" t="21590" r="38735" b="5080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145" cy="1365885"/>
                        </a:xfrm>
                        <a:prstGeom prst="roundRect">
                          <a:avLst>
                            <a:gd name="adj" fmla="val 0"/>
                          </a:avLst>
                        </a:prstGeom>
                        <a:solidFill>
                          <a:srgbClr val="B8CCE4"/>
                        </a:solidFill>
                        <a:ln w="38100">
                          <a:solidFill>
                            <a:srgbClr val="F2F2F2"/>
                          </a:solidFill>
                          <a:round/>
                          <a:headEnd/>
                          <a:tailEnd/>
                        </a:ln>
                        <a:effectLst>
                          <a:outerShdw dist="28398" dir="3806097" algn="ctr" rotWithShape="0">
                            <a:srgbClr val="243F60">
                              <a:alpha val="50000"/>
                            </a:srgbClr>
                          </a:outerShdw>
                        </a:effectLst>
                      </wps:spPr>
                      <wps:txbx>
                        <w:txbxContent>
                          <w:p w:rsidR="00AD5C31" w:rsidRPr="009A5232" w:rsidRDefault="00AD5C31" w:rsidP="00AD5C31">
                            <w:pPr>
                              <w:ind w:left="720"/>
                              <w:rPr>
                                <w:rFonts w:ascii="Arial" w:hAnsi="Arial"/>
                                <w:b/>
                                <w:bCs/>
                                <w:lang w:val="ru-RU"/>
                              </w:rPr>
                            </w:pPr>
                            <w:r w:rsidRPr="009A5232">
                              <w:rPr>
                                <w:rFonts w:ascii="Arial" w:hAnsi="Arial"/>
                                <w:b/>
                                <w:bCs/>
                                <w:lang w:val="ru-RU"/>
                              </w:rPr>
                              <w:t>Тема: Личностное Развитие</w:t>
                            </w:r>
                          </w:p>
                          <w:p w:rsidR="00AD5C31" w:rsidRPr="009A5232" w:rsidRDefault="00AD5C31" w:rsidP="00AD5C31">
                            <w:pPr>
                              <w:numPr>
                                <w:ilvl w:val="0"/>
                                <w:numId w:val="3"/>
                              </w:numPr>
                              <w:spacing w:after="0" w:line="240" w:lineRule="auto"/>
                              <w:rPr>
                                <w:rFonts w:ascii="Arial" w:hAnsi="Arial"/>
                                <w:lang w:val="ru-RU"/>
                              </w:rPr>
                            </w:pPr>
                            <w:r w:rsidRPr="009A5232">
                              <w:rPr>
                                <w:rFonts w:ascii="Arial" w:hAnsi="Arial"/>
                                <w:lang w:val="ru-RU"/>
                              </w:rPr>
                              <w:t>Люди должны делать то, что делают их друзья, даже если они знают, что друзья поступают неправильно.</w:t>
                            </w:r>
                          </w:p>
                          <w:p w:rsidR="00AD5C31" w:rsidRPr="009A5232" w:rsidRDefault="00AD5C31" w:rsidP="00AD5C31">
                            <w:pPr>
                              <w:numPr>
                                <w:ilvl w:val="0"/>
                                <w:numId w:val="3"/>
                              </w:numPr>
                              <w:spacing w:after="0"/>
                              <w:rPr>
                                <w:rFonts w:ascii="Arial" w:hAnsi="Arial"/>
                                <w:lang w:val="ru-RU"/>
                              </w:rPr>
                            </w:pPr>
                            <w:r w:rsidRPr="009A5232">
                              <w:rPr>
                                <w:rFonts w:ascii="Arial" w:hAnsi="Arial"/>
                                <w:lang w:val="ru-RU"/>
                              </w:rPr>
                              <w:t xml:space="preserve">Это нормально </w:t>
                            </w:r>
                            <w:r>
                              <w:rPr>
                                <w:rFonts w:ascii="Arial" w:hAnsi="Arial"/>
                                <w:lang w:val="ru-RU"/>
                              </w:rPr>
                              <w:t xml:space="preserve">- </w:t>
                            </w:r>
                            <w:r w:rsidRPr="009A5232">
                              <w:rPr>
                                <w:rFonts w:ascii="Arial" w:hAnsi="Arial"/>
                                <w:lang w:val="ru-RU"/>
                              </w:rPr>
                              <w:t>подтвердить алиби друга.</w:t>
                            </w:r>
                          </w:p>
                          <w:p w:rsidR="00AD5C31" w:rsidRPr="009A5232" w:rsidRDefault="00AD5C31" w:rsidP="00AD5C31">
                            <w:pPr>
                              <w:numPr>
                                <w:ilvl w:val="0"/>
                                <w:numId w:val="3"/>
                              </w:numPr>
                              <w:rPr>
                                <w:rFonts w:ascii="Arial" w:hAnsi="Arial"/>
                                <w:lang w:val="ru-RU"/>
                              </w:rPr>
                            </w:pPr>
                            <w:r w:rsidRPr="009A5232">
                              <w:rPr>
                                <w:rFonts w:ascii="Arial" w:hAnsi="Arial"/>
                                <w:lang w:val="ru-RU"/>
                              </w:rPr>
                              <w:t>У хулиганов высокая самооценка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6.95pt;margin-top:-6.85pt;width:421.35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" fillcolor="#b8cce4" strokecolor="#f2f2f2" strokeweight="3pt">
                <v:shadow on="t" color="#243f60" opacity=".5" offset="1pt"/>
                <v:textbox>
                  <w:txbxContent>
                    <w:p w:rsidR="00AD5C31" w:rsidRPr="009A5232" w:rsidRDefault="00AD5C31" w:rsidP="00AD5C31">
                      <w:pPr>
                        <w:ind w:left="720"/>
                        <w:rPr>
                          <w:rFonts w:ascii="Arial" w:hAnsi="Arial"/>
                          <w:b/>
                          <w:bCs/>
                          <w:lang w:val="ru-RU"/>
                        </w:rPr>
                      </w:pPr>
                      <w:r w:rsidRPr="009A5232">
                        <w:rPr>
                          <w:rFonts w:ascii="Arial" w:hAnsi="Arial"/>
                          <w:b/>
                          <w:bCs/>
                          <w:lang w:val="ru-RU"/>
                        </w:rPr>
                        <w:t>Тема: Личностное Развитие</w:t>
                      </w:r>
                    </w:p>
                    <w:p w:rsidR="00AD5C31" w:rsidRPr="009A5232" w:rsidRDefault="00AD5C31" w:rsidP="00AD5C31">
                      <w:pPr>
                        <w:numPr>
                          <w:ilvl w:val="0"/>
                          <w:numId w:val="3"/>
                        </w:numPr>
                        <w:spacing w:after="0" w:line="240" w:lineRule="auto"/>
                        <w:rPr>
                          <w:rFonts w:ascii="Arial" w:hAnsi="Arial"/>
                          <w:lang w:val="ru-RU"/>
                        </w:rPr>
                      </w:pPr>
                      <w:r w:rsidRPr="009A5232">
                        <w:rPr>
                          <w:rFonts w:ascii="Arial" w:hAnsi="Arial"/>
                          <w:lang w:val="ru-RU"/>
                        </w:rPr>
                        <w:t>Люди должны делать то, что делают их друзья, даже если они знают, что друзья поступают неправильно.</w:t>
                      </w:r>
                    </w:p>
                    <w:p w:rsidR="00AD5C31" w:rsidRPr="009A5232" w:rsidRDefault="00AD5C31" w:rsidP="00AD5C31">
                      <w:pPr>
                        <w:numPr>
                          <w:ilvl w:val="0"/>
                          <w:numId w:val="3"/>
                        </w:numPr>
                        <w:spacing w:after="0"/>
                        <w:rPr>
                          <w:rFonts w:ascii="Arial" w:hAnsi="Arial"/>
                          <w:lang w:val="ru-RU"/>
                        </w:rPr>
                      </w:pPr>
                      <w:r w:rsidRPr="009A5232">
                        <w:rPr>
                          <w:rFonts w:ascii="Arial" w:hAnsi="Arial"/>
                          <w:lang w:val="ru-RU"/>
                        </w:rPr>
                        <w:t xml:space="preserve">Это нормально </w:t>
                      </w:r>
                      <w:r>
                        <w:rPr>
                          <w:rFonts w:ascii="Arial" w:hAnsi="Arial"/>
                          <w:lang w:val="ru-RU"/>
                        </w:rPr>
                        <w:t xml:space="preserve">- </w:t>
                      </w:r>
                      <w:r w:rsidRPr="009A5232">
                        <w:rPr>
                          <w:rFonts w:ascii="Arial" w:hAnsi="Arial"/>
                          <w:lang w:val="ru-RU"/>
                        </w:rPr>
                        <w:t>подтвердить алиби друга.</w:t>
                      </w:r>
                    </w:p>
                    <w:p w:rsidR="00AD5C31" w:rsidRPr="009A5232" w:rsidRDefault="00AD5C31" w:rsidP="00AD5C31">
                      <w:pPr>
                        <w:numPr>
                          <w:ilvl w:val="0"/>
                          <w:numId w:val="3"/>
                        </w:numPr>
                        <w:rPr>
                          <w:rFonts w:ascii="Arial" w:hAnsi="Arial"/>
                          <w:lang w:val="ru-RU"/>
                        </w:rPr>
                      </w:pPr>
                      <w:r w:rsidRPr="009A5232">
                        <w:rPr>
                          <w:rFonts w:ascii="Arial" w:hAnsi="Arial"/>
                          <w:lang w:val="ru-RU"/>
                        </w:rPr>
                        <w:t>У хулиганов высокая самооценка</w:t>
                      </w:r>
                    </w:p>
                  </w:txbxContent>
                </v:textbox>
              </v:roundrect>
            </w:pict>
          </mc:Fallback>
        </mc:AlternateContent>
      </w:r>
    </w:p>
    <w:p w:rsidR="00AD5C31" w:rsidRPr="00395306" w:rsidRDefault="00AD5C31" w:rsidP="00AD5C31">
      <w:pPr>
        <w:tabs>
          <w:tab w:val="left" w:pos="0"/>
        </w:tabs>
        <w:spacing w:after="0"/>
        <w:rPr>
          <w:rFonts w:ascii="Arial" w:hAnsi="Arial"/>
          <w:lang w:val="ru-RU"/>
        </w:rPr>
      </w:pPr>
    </w:p>
    <w:p w:rsidR="00AD5C31" w:rsidRPr="00395306" w:rsidRDefault="00AD5C31" w:rsidP="00AD5C31">
      <w:pPr>
        <w:tabs>
          <w:tab w:val="left" w:pos="0"/>
        </w:tabs>
        <w:spacing w:after="0"/>
        <w:rPr>
          <w:rFonts w:ascii="Arial" w:hAnsi="Arial"/>
          <w:lang w:val="ru-RU"/>
        </w:rPr>
      </w:pPr>
    </w:p>
    <w:p w:rsidR="00AD5C31" w:rsidRPr="00395306" w:rsidRDefault="00AD5C31" w:rsidP="00AD5C31">
      <w:pPr>
        <w:tabs>
          <w:tab w:val="left" w:pos="0"/>
        </w:tabs>
        <w:spacing w:after="0"/>
        <w:rPr>
          <w:rFonts w:ascii="Arial" w:hAnsi="Arial"/>
          <w:lang w:val="ru-RU"/>
        </w:rPr>
      </w:pPr>
    </w:p>
    <w:p w:rsidR="00AD5C31" w:rsidRPr="00395306" w:rsidRDefault="00AD5C31" w:rsidP="00AD5C31">
      <w:pPr>
        <w:tabs>
          <w:tab w:val="left" w:pos="0"/>
        </w:tabs>
        <w:spacing w:after="0"/>
        <w:rPr>
          <w:rFonts w:ascii="Arial" w:hAnsi="Arial"/>
          <w:lang w:val="ru-RU"/>
        </w:rPr>
      </w:pPr>
    </w:p>
    <w:p w:rsidR="00AD5C31" w:rsidRPr="00395306" w:rsidRDefault="00AD5C31" w:rsidP="00AD5C31">
      <w:pPr>
        <w:tabs>
          <w:tab w:val="left" w:pos="0"/>
        </w:tabs>
        <w:spacing w:after="0"/>
        <w:rPr>
          <w:rFonts w:ascii="Arial" w:hAnsi="Arial"/>
          <w:lang w:val="ru-RU"/>
        </w:rPr>
      </w:pPr>
    </w:p>
    <w:p w:rsidR="00AD5C31" w:rsidRPr="00395306" w:rsidRDefault="00AD5C31" w:rsidP="00AD5C31">
      <w:pPr>
        <w:tabs>
          <w:tab w:val="left" w:pos="0"/>
        </w:tabs>
        <w:spacing w:after="0"/>
        <w:rPr>
          <w:rFonts w:ascii="Arial" w:hAnsi="Arial"/>
          <w:lang w:val="ru-RU"/>
        </w:rPr>
      </w:pPr>
    </w:p>
    <w:p w:rsidR="00AD5C31" w:rsidRPr="00395306" w:rsidRDefault="00AD5C31" w:rsidP="00AD5C31">
      <w:pPr>
        <w:tabs>
          <w:tab w:val="left" w:pos="0"/>
        </w:tabs>
        <w:spacing w:after="0"/>
        <w:rPr>
          <w:rFonts w:ascii="Arial" w:hAnsi="Arial"/>
          <w:lang w:val="ru-RU"/>
        </w:rPr>
      </w:pPr>
    </w:p>
    <w:p w:rsidR="00AD5C31" w:rsidRPr="00395306" w:rsidRDefault="00AD5C31" w:rsidP="00AD5C31">
      <w:pPr>
        <w:tabs>
          <w:tab w:val="left" w:pos="0"/>
        </w:tabs>
        <w:spacing w:after="0"/>
        <w:rPr>
          <w:rFonts w:ascii="Arial" w:hAnsi="Arial"/>
          <w:lang w:val="ru-RU"/>
        </w:rPr>
      </w:pPr>
    </w:p>
    <w:p w:rsidR="00AD5C31" w:rsidRPr="00395306" w:rsidRDefault="00AD5C31" w:rsidP="00AD5C31">
      <w:pPr>
        <w:spacing w:after="0"/>
        <w:ind w:left="284" w:hanging="284"/>
        <w:rPr>
          <w:rFonts w:ascii="Arial" w:hAnsi="Arial"/>
          <w:lang w:val="ru-RU"/>
        </w:rPr>
      </w:pPr>
      <w:r w:rsidRPr="00395306">
        <w:rPr>
          <w:rFonts w:ascii="Arial" w:hAnsi="Arial"/>
          <w:lang w:val="ru-RU"/>
        </w:rPr>
        <w:t xml:space="preserve">3. </w:t>
      </w:r>
      <w:r>
        <w:rPr>
          <w:rFonts w:ascii="Arial" w:hAnsi="Arial"/>
          <w:lang w:val="ru-RU"/>
        </w:rPr>
        <w:t xml:space="preserve"> </w:t>
      </w:r>
      <w:r w:rsidRPr="00395306">
        <w:rPr>
          <w:rFonts w:ascii="Arial" w:hAnsi="Arial"/>
          <w:lang w:val="ru-RU"/>
        </w:rPr>
        <w:t xml:space="preserve">Затем </w:t>
      </w:r>
      <w:r>
        <w:rPr>
          <w:rFonts w:ascii="Arial" w:hAnsi="Arial"/>
          <w:lang w:val="ru-RU"/>
        </w:rPr>
        <w:t>у</w:t>
      </w:r>
      <w:r w:rsidRPr="00395306">
        <w:rPr>
          <w:rFonts w:ascii="Arial" w:hAnsi="Arial"/>
          <w:lang w:val="ru-RU"/>
        </w:rPr>
        <w:t>ченики делают шаг в зависимости от того, насколько они согласны с заявлением. Если они не согласны или абсолютно не согласны с утверждением, они делают шаг назад. Если они согласны или относятся к этому спокойно, то делают шаг вперед. Если они не уверены, то стоят на месте. Размер шага также может указывать, насколько удобно или неудобно они себя чувствуют. Маленький шаг вперед, например, может означать, что ученик согласен, но с оговорками.</w:t>
      </w:r>
    </w:p>
    <w:p w:rsidR="00AD5C31" w:rsidRPr="00395306" w:rsidRDefault="00AD5C31" w:rsidP="00AD5C31">
      <w:pPr>
        <w:spacing w:after="0"/>
        <w:ind w:left="284" w:hanging="284"/>
        <w:rPr>
          <w:rFonts w:ascii="Arial" w:hAnsi="Arial"/>
          <w:lang w:val="ru-RU"/>
        </w:rPr>
      </w:pPr>
      <w:r w:rsidRPr="00395306">
        <w:rPr>
          <w:rFonts w:ascii="Arial" w:hAnsi="Arial"/>
          <w:lang w:val="ru-RU"/>
        </w:rPr>
        <w:t xml:space="preserve">4. </w:t>
      </w:r>
      <w:r>
        <w:rPr>
          <w:rFonts w:ascii="Arial" w:hAnsi="Arial"/>
          <w:lang w:val="ru-RU"/>
        </w:rPr>
        <w:t xml:space="preserve"> </w:t>
      </w:r>
      <w:r w:rsidRPr="00395306">
        <w:rPr>
          <w:rFonts w:ascii="Arial" w:hAnsi="Arial"/>
          <w:lang w:val="ru-RU"/>
        </w:rPr>
        <w:t>Когда ученики двигаются, они должны объяснить, почему они сделали такой шаг. Нужно спросить всех: и тех, кто сделал шаг вперед, и тех, кто сделал шаг назад, и тех, кто остался на месте.</w:t>
      </w:r>
    </w:p>
    <w:p w:rsidR="00AD5C31" w:rsidRPr="00395306" w:rsidRDefault="00AD5C31" w:rsidP="00AD5C31">
      <w:pPr>
        <w:numPr>
          <w:ilvl w:val="0"/>
          <w:numId w:val="1"/>
        </w:numPr>
        <w:tabs>
          <w:tab w:val="left" w:pos="0"/>
        </w:tabs>
        <w:spacing w:after="0"/>
        <w:ind w:left="284" w:hanging="284"/>
        <w:rPr>
          <w:rFonts w:ascii="Arial" w:hAnsi="Arial"/>
          <w:lang w:val="ru-RU"/>
        </w:rPr>
      </w:pPr>
      <w:r w:rsidRPr="00395306">
        <w:rPr>
          <w:rFonts w:ascii="Arial" w:hAnsi="Arial"/>
          <w:lang w:val="ru-RU"/>
        </w:rPr>
        <w:lastRenderedPageBreak/>
        <w:t>Можно использовать вспомогательные вопросы, чтобы обсудить более сложные проблемы и детализировать изначальное утверждение.</w:t>
      </w:r>
    </w:p>
    <w:p w:rsidR="00AD5C31" w:rsidRPr="00395306" w:rsidRDefault="00AD5C31" w:rsidP="00AD5C31">
      <w:pPr>
        <w:numPr>
          <w:ilvl w:val="0"/>
          <w:numId w:val="1"/>
        </w:numPr>
        <w:tabs>
          <w:tab w:val="left" w:pos="0"/>
        </w:tabs>
        <w:spacing w:after="0"/>
        <w:ind w:left="284" w:hanging="284"/>
        <w:rPr>
          <w:rFonts w:ascii="Arial" w:hAnsi="Arial"/>
          <w:lang w:val="ru-RU"/>
        </w:rPr>
      </w:pPr>
      <w:r w:rsidRPr="00395306">
        <w:rPr>
          <w:rFonts w:ascii="Arial" w:hAnsi="Arial"/>
          <w:lang w:val="ru-RU"/>
        </w:rPr>
        <w:t>Обсуждение упражнения может быть построено вокруг тех вопросов, которые вызвали единодушный консенсус, и вопросов, которые разделили класс.</w:t>
      </w:r>
    </w:p>
    <w:p w:rsidR="0095278E" w:rsidRPr="00AD5C31" w:rsidRDefault="0095278E">
      <w:pPr>
        <w:rPr>
          <w:lang w:val="ru-RU"/>
        </w:rPr>
      </w:pPr>
      <w:bookmarkStart w:id="0" w:name="_GoBack"/>
      <w:bookmarkEnd w:id="0"/>
    </w:p>
    <w:sectPr w:rsidR="0095278E" w:rsidRPr="00AD5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71C"/>
    <w:multiLevelType w:val="hybridMultilevel"/>
    <w:tmpl w:val="43A6B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E209DC"/>
    <w:multiLevelType w:val="hybridMultilevel"/>
    <w:tmpl w:val="3C305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1D1689"/>
    <w:multiLevelType w:val="hybridMultilevel"/>
    <w:tmpl w:val="497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8B"/>
    <w:rsid w:val="0095278E"/>
    <w:rsid w:val="00AD5C31"/>
    <w:rsid w:val="00F0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31"/>
    <w:rPr>
      <w:rFonts w:ascii="Calibri" w:eastAsia="Calibri" w:hAnsi="Calibri" w:cs="Arial"/>
      <w:lang w:val="en-GB"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31"/>
    <w:rPr>
      <w:rFonts w:ascii="Calibri" w:eastAsia="Calibri" w:hAnsi="Calibri" w:cs="Arial"/>
      <w:lang w:val="en-GB"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2015-01-02T20:11:00Z</dcterms:created>
  <dcterms:modified xsi:type="dcterms:W3CDTF">2015-01-02T20:11:00Z</dcterms:modified>
</cp:coreProperties>
</file>